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F3" w:rsidRPr="001F14F3" w:rsidRDefault="001F14F3" w:rsidP="001F14F3">
      <w:pPr>
        <w:autoSpaceDE w:val="0"/>
        <w:autoSpaceDN w:val="0"/>
        <w:adjustRightInd w:val="0"/>
        <w:jc w:val="both"/>
        <w:rPr>
          <w:rFonts w:eastAsiaTheme="minorHAnsi"/>
          <w:b/>
          <w:color w:val="002060"/>
          <w:sz w:val="20"/>
          <w:szCs w:val="20"/>
          <w:lang w:eastAsia="en-US"/>
        </w:rPr>
      </w:pPr>
      <w:bookmarkStart w:id="0" w:name="_GoBack"/>
      <w:bookmarkEnd w:id="0"/>
    </w:p>
    <w:p w:rsidR="00A441B2" w:rsidRPr="00327AC2" w:rsidRDefault="00A441B2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>Памятка</w:t>
      </w:r>
    </w:p>
    <w:p w:rsidR="00A441B2" w:rsidRPr="00327AC2" w:rsidRDefault="00A441B2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>об особенностях расчета средств пенсионных накоплений,</w:t>
      </w:r>
    </w:p>
    <w:p w:rsidR="00A441B2" w:rsidRPr="00327AC2" w:rsidRDefault="00A441B2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 подлежащих передаче текущим страховщиком новому страховщику </w:t>
      </w:r>
    </w:p>
    <w:p w:rsidR="00A441B2" w:rsidRPr="00327AC2" w:rsidRDefault="00A441B2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>по заявлениям о переходе и досрочном переходе, поданным в 20</w:t>
      </w:r>
      <w:r w:rsidR="002B37FC">
        <w:rPr>
          <w:rFonts w:eastAsiaTheme="minorHAnsi"/>
          <w:b/>
          <w:color w:val="002060"/>
          <w:sz w:val="28"/>
          <w:szCs w:val="28"/>
          <w:lang w:eastAsia="en-US"/>
        </w:rPr>
        <w:t>20</w:t>
      </w: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 году</w:t>
      </w:r>
    </w:p>
    <w:p w:rsidR="001B0EE8" w:rsidRDefault="001B0EE8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5"/>
          <w:szCs w:val="25"/>
          <w:lang w:eastAsia="en-US"/>
        </w:rPr>
      </w:pPr>
    </w:p>
    <w:tbl>
      <w:tblPr>
        <w:tblStyle w:val="a5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2048"/>
      </w:tblGrid>
      <w:tr w:rsidR="00327AC2" w:rsidTr="00CC17F9">
        <w:tc>
          <w:tcPr>
            <w:tcW w:w="1844" w:type="dxa"/>
          </w:tcPr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Год начала формирования </w:t>
            </w:r>
            <w:r w:rsidR="00E205C4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СПН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застрахованным лицом у текущего страховщика </w:t>
            </w:r>
          </w:p>
          <w:p w:rsidR="00327AC2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(ПФР / НПФ)</w:t>
            </w:r>
          </w:p>
        </w:tc>
        <w:tc>
          <w:tcPr>
            <w:tcW w:w="2268" w:type="dxa"/>
          </w:tcPr>
          <w:p w:rsidR="00327AC2" w:rsidRPr="001F14F3" w:rsidRDefault="00327AC2" w:rsidP="00230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Сроки отражения текущим страховщиком суммы первой пятилетней фиксации средств пенсионных накоплений*</w:t>
            </w:r>
          </w:p>
          <w:p w:rsid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</w:pPr>
          </w:p>
        </w:tc>
        <w:tc>
          <w:tcPr>
            <w:tcW w:w="12048" w:type="dxa"/>
          </w:tcPr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Порядок расчета средств </w:t>
            </w:r>
          </w:p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пенсионных накоплений (СПН),</w:t>
            </w:r>
          </w:p>
          <w:p w:rsidR="00327AC2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подлежащих передаче выбранному страховщику 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</w:p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0E397C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в 20</w:t>
            </w:r>
            <w:r w:rsidR="00D02099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</w:t>
            </w:r>
            <w:r w:rsidR="002B37FC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1</w:t>
            </w:r>
            <w:r w:rsidRPr="000E397C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году по заявлениям застрахованных лиц </w:t>
            </w:r>
          </w:p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о досрочном переходе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, </w:t>
            </w:r>
          </w:p>
          <w:p w:rsidR="00327AC2" w:rsidRDefault="00327AC2" w:rsidP="002B3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</w:pPr>
            <w:proofErr w:type="gramStart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поданным</w:t>
            </w:r>
            <w:proofErr w:type="gramEnd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в </w:t>
            </w: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</w:t>
            </w:r>
            <w:r w:rsidR="002B37FC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году</w:t>
            </w:r>
          </w:p>
        </w:tc>
      </w:tr>
      <w:tr w:rsidR="00327AC2" w:rsidTr="00CC17F9">
        <w:tc>
          <w:tcPr>
            <w:tcW w:w="1844" w:type="dxa"/>
          </w:tcPr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2011 и ранее</w:t>
            </w:r>
          </w:p>
          <w:p w:rsidR="00EA7005" w:rsidRPr="00327AC2" w:rsidRDefault="00EA7005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(без потерь)</w:t>
            </w:r>
          </w:p>
        </w:tc>
        <w:tc>
          <w:tcPr>
            <w:tcW w:w="2268" w:type="dxa"/>
          </w:tcPr>
          <w:p w:rsidR="00327AC2" w:rsidRDefault="00327AC2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2015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  <w:p w:rsidR="00E03381" w:rsidRDefault="00E03381" w:rsidP="00E033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</w:t>
            </w: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  <w:p w:rsidR="00E03381" w:rsidRPr="00327AC2" w:rsidRDefault="00E03381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12048" w:type="dxa"/>
          </w:tcPr>
          <w:p w:rsidR="00EA7005" w:rsidRPr="00A14752" w:rsidRDefault="00EA7005" w:rsidP="00EA700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proofErr w:type="gramStart"/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В случае положительного результата инвестирования в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6 - 2020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новому страховщику в 20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21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будет передана сумма СПН, отраженная в год 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второ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й пятилетней фиксации, включающая фактически сформированные СПН и инвестиционный доход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6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годов.</w:t>
            </w:r>
            <w:proofErr w:type="gramEnd"/>
          </w:p>
          <w:p w:rsidR="00327AC2" w:rsidRPr="00327AC2" w:rsidRDefault="00EA7005" w:rsidP="00882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2) В случае отрицательного результата инвестирования в 201</w:t>
            </w:r>
            <w:r w:rsidR="0088214B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6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</w:t>
            </w:r>
            <w:r w:rsidR="0088214B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новому страховщику в 202</w:t>
            </w:r>
            <w:r w:rsidR="0088214B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году будет передана фактически сформированная сумма СПН с учетом гарантийного восполнения инвестиционного убытка.</w:t>
            </w:r>
          </w:p>
        </w:tc>
      </w:tr>
      <w:tr w:rsidR="00327AC2" w:rsidRPr="001F14F3" w:rsidTr="00CC17F9">
        <w:tc>
          <w:tcPr>
            <w:tcW w:w="1844" w:type="dxa"/>
          </w:tcPr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CC17F9" w:rsidRPr="00327AC2" w:rsidRDefault="00CC17F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2268" w:type="dxa"/>
          </w:tcPr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D61A75" w:rsidRDefault="00D61A75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 xml:space="preserve">2016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2048" w:type="dxa"/>
          </w:tcPr>
          <w:p w:rsidR="00327AC2" w:rsidRPr="00327AC2" w:rsidRDefault="00327AC2" w:rsidP="002008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1) В случае положительного результата инвестирования 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в 2017 – 20</w:t>
            </w:r>
            <w:r w:rsidR="0088214B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новому страховщику в 20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88214B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будет передана сумма СПН, отраженная в год первой пятилетней фиксации, 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и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СПН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, поступившие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9968B9"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в 2017 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– 2020 </w:t>
            </w:r>
            <w:r w:rsidR="009968B9"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="009968B9"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без инвестиционного дохода 2017 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– 20</w:t>
            </w:r>
            <w:r w:rsidR="0088214B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ов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.</w:t>
            </w:r>
          </w:p>
          <w:p w:rsidR="00327AC2" w:rsidRPr="00327AC2" w:rsidRDefault="00327AC2" w:rsidP="00882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2) В случае отрицательного результата инвестирования 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в 2017 – 20</w:t>
            </w:r>
            <w:r w:rsidR="0088214B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новому страховщику в 20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88214B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будет передана фактически сформированная сумма СПН, отраженная в год первой пятилетней фиксации,  и СПН, поступившие в 2017 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– 20</w:t>
            </w:r>
            <w:r w:rsidR="0088214B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 учетом полученного в 2017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</w:t>
            </w:r>
            <w:r w:rsidR="0088214B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убытка от инвестирования без гарантийного восполнения.</w:t>
            </w:r>
          </w:p>
        </w:tc>
      </w:tr>
      <w:tr w:rsidR="00327AC2" w:rsidRPr="001F14F3" w:rsidTr="00CC17F9">
        <w:tc>
          <w:tcPr>
            <w:tcW w:w="1844" w:type="dxa"/>
          </w:tcPr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2013</w:t>
            </w:r>
          </w:p>
          <w:p w:rsidR="005963FB" w:rsidRPr="00327AC2" w:rsidRDefault="005963FB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2017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048" w:type="dxa"/>
          </w:tcPr>
          <w:p w:rsidR="00327AC2" w:rsidRPr="00327AC2" w:rsidRDefault="00327AC2" w:rsidP="002008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1) В случае положительного результата инвестирования 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в 2018 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– 20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новому страховщику в 20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будет передана сумма СПН, отраженная в год первой пятилетней фиксации, 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и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СПН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, поступившие </w:t>
            </w:r>
            <w:r w:rsidR="009968B9"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в 201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="009968B9"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– 2020 </w:t>
            </w:r>
            <w:r w:rsidR="009968B9"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4C3AF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без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инвестиционн</w:t>
            </w:r>
            <w:r w:rsidR="004C3AF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ого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доход</w:t>
            </w:r>
            <w:r w:rsidR="004C3AF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а 2018 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– 20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4C3AF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ов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.</w:t>
            </w:r>
          </w:p>
          <w:p w:rsidR="00327AC2" w:rsidRPr="00327AC2" w:rsidRDefault="00327AC2" w:rsidP="009968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2) В случае отрицательного результата инвестирования 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в 2018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новому страховщику в 20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будет передана фактически сформированная сумма</w:t>
            </w:r>
            <w:r w:rsidR="004A417B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, отраженная в </w:t>
            </w:r>
            <w:r w:rsidR="004A417B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lastRenderedPageBreak/>
              <w:t xml:space="preserve">год первой пятилетней фиксации, и СПН, поступившие в 2018 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– 20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4A417B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 учетом </w:t>
            </w:r>
            <w:r w:rsidR="009A4DA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полученного в 2018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9A4DA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="009A4DA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убытка от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инвести</w:t>
            </w:r>
            <w:r w:rsidR="009A4DA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рования без гарантийного восполнения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.  </w:t>
            </w:r>
          </w:p>
        </w:tc>
      </w:tr>
      <w:tr w:rsidR="00F63B01" w:rsidRPr="001F14F3" w:rsidTr="00CC17F9">
        <w:tc>
          <w:tcPr>
            <w:tcW w:w="1844" w:type="dxa"/>
          </w:tcPr>
          <w:p w:rsidR="00F63B01" w:rsidRDefault="00F63B01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F63B01" w:rsidRDefault="00F63B01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F63B01" w:rsidRPr="00F63B01" w:rsidRDefault="00F63B01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F63B01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2014</w:t>
            </w:r>
          </w:p>
          <w:p w:rsidR="00F63B01" w:rsidRPr="009A4DAE" w:rsidRDefault="00F63B01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63B01" w:rsidRDefault="00F63B01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71152B" w:rsidRDefault="0071152B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F63B01" w:rsidRPr="00F63B01" w:rsidRDefault="00F63B01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F63B01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2018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  <w:p w:rsidR="00F63B01" w:rsidRPr="009A4DAE" w:rsidRDefault="00F63B01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12048" w:type="dxa"/>
          </w:tcPr>
          <w:p w:rsidR="00F63B01" w:rsidRPr="00CC17F9" w:rsidRDefault="00F63B01" w:rsidP="00CC17F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08" w:firstLine="283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В случае положительного результата 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и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нвестирования в 201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- 2020 годах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новому страховщику в 20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е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т передан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а сумма СПН, отраженная в год первой пятилетней фиксации, 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и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СПН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, поступившие в 2019 – 2020 годах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без </w:t>
            </w:r>
            <w:r w:rsidRP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инвестиционн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ого</w:t>
            </w:r>
            <w:r w:rsidRP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доход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</w:t>
            </w:r>
            <w:r w:rsidRP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 201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2020 годов</w:t>
            </w:r>
            <w:r w:rsidRP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.</w:t>
            </w:r>
          </w:p>
          <w:p w:rsidR="00F63B01" w:rsidRPr="009A4DAE" w:rsidRDefault="00CC17F9" w:rsidP="00976B9E">
            <w:pPr>
              <w:pStyle w:val="a6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/>
                <w:b/>
                <w:i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2) </w:t>
            </w:r>
            <w:r w:rsidRP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В случае отрицательного результата инвестирования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в  201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- 2020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дах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новому страховщику в 20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е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т передан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фактически сформированн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ая сумма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СПН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, отраженная в год первой пятилетней фиксации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, и СПН, поступившие в 2019 – 2020 годах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 учетом 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полученного в 2019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2020 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инвестиционного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убытка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без гарантийного восполнения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.</w:t>
            </w:r>
          </w:p>
        </w:tc>
      </w:tr>
      <w:tr w:rsidR="00CC17F9" w:rsidRPr="001F14F3" w:rsidTr="00CC17F9">
        <w:trPr>
          <w:trHeight w:val="1895"/>
        </w:trPr>
        <w:tc>
          <w:tcPr>
            <w:tcW w:w="1844" w:type="dxa"/>
          </w:tcPr>
          <w:p w:rsidR="00CC17F9" w:rsidRPr="00CC17F9" w:rsidRDefault="00CC17F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CC17F9" w:rsidRPr="00CC17F9" w:rsidRDefault="00CC17F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CC17F9" w:rsidRDefault="00CC17F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CC17F9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2015</w:t>
            </w:r>
          </w:p>
          <w:p w:rsidR="00A14752" w:rsidRPr="00CC17F9" w:rsidRDefault="00A1475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CC17F9" w:rsidRPr="00CC17F9" w:rsidRDefault="00CC17F9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CC17F9" w:rsidRPr="00CC17F9" w:rsidRDefault="00CC17F9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CC17F9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2019</w:t>
            </w:r>
            <w:r w:rsidRP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048" w:type="dxa"/>
          </w:tcPr>
          <w:p w:rsidR="00A14752" w:rsidRPr="00A14752" w:rsidRDefault="00A14752" w:rsidP="000D32A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В случае положительного результата инвестирования в 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2020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у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новому страховщику в 20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будет передана сумма СПН, отраженная в год первой пятилетней фиксации, 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и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СПН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, поступившие в 2020 году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без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инвестиционн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ого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доход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2020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.</w:t>
            </w:r>
          </w:p>
          <w:p w:rsidR="00CC17F9" w:rsidRPr="009A4DAE" w:rsidRDefault="00A14752" w:rsidP="00976B9E">
            <w:pPr>
              <w:pStyle w:val="a6"/>
              <w:autoSpaceDE w:val="0"/>
              <w:autoSpaceDN w:val="0"/>
              <w:adjustRightInd w:val="0"/>
              <w:ind w:left="0" w:firstLine="394"/>
              <w:jc w:val="center"/>
              <w:rPr>
                <w:rFonts w:eastAsiaTheme="minorHAnsi"/>
                <w:b/>
                <w:i/>
                <w:color w:val="002060"/>
                <w:sz w:val="28"/>
                <w:szCs w:val="28"/>
                <w:lang w:eastAsia="en-US"/>
              </w:rPr>
            </w:pP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2) В случае отрицательного результата инвестирования в 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2020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у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новому страховщику в 202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году будет передана фактически сформированная сумма СПН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,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отраженная в год первой пятилетней фиксации, и СПН, поступившие в 2020 году</w:t>
            </w:r>
            <w:r w:rsidR="00976B9E"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976B9E"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с учетом 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полученного в 2020 году убытка от </w:t>
            </w:r>
            <w:r w:rsidR="00976B9E"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инвести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рования без гарантийного восполнения</w:t>
            </w:r>
            <w:r w:rsidR="00976B9E"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.  </w:t>
            </w:r>
          </w:p>
        </w:tc>
      </w:tr>
      <w:tr w:rsidR="00327AC2" w:rsidRPr="001F14F3" w:rsidTr="00CC17F9">
        <w:tc>
          <w:tcPr>
            <w:tcW w:w="1844" w:type="dxa"/>
          </w:tcPr>
          <w:p w:rsid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2016</w:t>
            </w:r>
          </w:p>
          <w:p w:rsidR="00976B9E" w:rsidRPr="00327AC2" w:rsidRDefault="00976B9E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A1475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(без потерь)</w:t>
            </w:r>
          </w:p>
        </w:tc>
        <w:tc>
          <w:tcPr>
            <w:tcW w:w="2268" w:type="dxa"/>
          </w:tcPr>
          <w:p w:rsid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048" w:type="dxa"/>
          </w:tcPr>
          <w:p w:rsidR="00327AC2" w:rsidRPr="00327AC2" w:rsidRDefault="00327AC2" w:rsidP="002008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1) В случае положительного результата инвестирования в 2016 – 20</w:t>
            </w:r>
            <w:r w:rsidR="007457C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новому страховщику в 20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7457C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будут переданы фактически сформированные СПН </w:t>
            </w:r>
            <w:r w:rsidR="007457C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с учетом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инвестиционного дохода за 2016 – 20</w:t>
            </w:r>
            <w:r w:rsidR="007457C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годы.</w:t>
            </w:r>
          </w:p>
          <w:p w:rsidR="00327AC2" w:rsidRPr="00327AC2" w:rsidRDefault="00327AC2" w:rsidP="00245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2) В случае отрицательного результата инвестирования в 2016 - 20</w:t>
            </w:r>
            <w:r w:rsidR="007457C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новом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у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страховщику в 20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7457C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</w:t>
            </w:r>
            <w:r w:rsidR="00245DA7"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будет передана фактически сформированная сумма СПН с учетом гарантийного восполнения инвестиционного убытка.</w:t>
            </w:r>
          </w:p>
        </w:tc>
      </w:tr>
      <w:tr w:rsidR="00327AC2" w:rsidRPr="001F14F3" w:rsidTr="00CC17F9">
        <w:tc>
          <w:tcPr>
            <w:tcW w:w="1844" w:type="dxa"/>
          </w:tcPr>
          <w:p w:rsid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268" w:type="dxa"/>
          </w:tcPr>
          <w:p w:rsid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2021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048" w:type="dxa"/>
          </w:tcPr>
          <w:p w:rsidR="00327AC2" w:rsidRP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1) В случае положительного результата инвестирования в 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2017 -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новому страховщику в 20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будут переданы фактически сформированные СПН без инвестиционного дохода за  2017 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– 20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20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ы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.</w:t>
            </w:r>
          </w:p>
          <w:p w:rsidR="00327AC2" w:rsidRPr="00327AC2" w:rsidRDefault="00327AC2" w:rsidP="00245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2) В случае отрицательного результата инвестирования в 2017 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– 20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новом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у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страховщику в 20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будут переданы фактически сформированные СПН с учетом полученного в 2017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убытка от инвестирования без гарантийного восполнения.</w:t>
            </w:r>
          </w:p>
        </w:tc>
      </w:tr>
      <w:tr w:rsidR="00F63B01" w:rsidRPr="001F14F3" w:rsidTr="00CC17F9">
        <w:tc>
          <w:tcPr>
            <w:tcW w:w="1844" w:type="dxa"/>
          </w:tcPr>
          <w:p w:rsidR="00F63B01" w:rsidRDefault="00F63B01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F63B01" w:rsidRDefault="00F63B01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F63B01" w:rsidRDefault="00F63B01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268" w:type="dxa"/>
          </w:tcPr>
          <w:p w:rsidR="00F63B01" w:rsidRDefault="00F63B01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F63B01" w:rsidRDefault="00F63B01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F63B01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2022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048" w:type="dxa"/>
          </w:tcPr>
          <w:p w:rsidR="00F63B01" w:rsidRPr="00327AC2" w:rsidRDefault="00F63B01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1) В случае положительного результата инвестирования в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- 20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новому страховщику в 20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будут переданы фактически сформированные СПН без инвестиционного дохода за 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- 20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ы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.</w:t>
            </w:r>
          </w:p>
          <w:p w:rsidR="00F63B01" w:rsidRPr="00327AC2" w:rsidRDefault="00F63B01" w:rsidP="00245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2) В случае отрицательного результата инвестирования в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- 20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ах новом 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lastRenderedPageBreak/>
              <w:t>страховщику в 202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будут переданы фактически сформированные СПН с учетом полученного в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- 20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убытка от инвестирования без гарантийного восполнения.</w:t>
            </w:r>
          </w:p>
        </w:tc>
      </w:tr>
      <w:tr w:rsidR="00394C74" w:rsidRPr="001F14F3" w:rsidTr="00CC17F9">
        <w:tc>
          <w:tcPr>
            <w:tcW w:w="1844" w:type="dxa"/>
          </w:tcPr>
          <w:p w:rsidR="001A2CEF" w:rsidRDefault="001A2CEF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94C74" w:rsidRDefault="00394C74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268" w:type="dxa"/>
          </w:tcPr>
          <w:p w:rsidR="0071152B" w:rsidRDefault="0071152B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94C74" w:rsidRDefault="00394C74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1A2CEF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2023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048" w:type="dxa"/>
          </w:tcPr>
          <w:p w:rsidR="001A2CEF" w:rsidRPr="001A2CEF" w:rsidRDefault="001A2CEF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1) В случае положительного результата инвестирования в 2019 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- 2020 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новому страховщику в 202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будут переданы фактически сформированные СПН без инвестиционного дохода за 2019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2020 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ы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.</w:t>
            </w:r>
          </w:p>
          <w:p w:rsidR="00394C74" w:rsidRPr="00327AC2" w:rsidRDefault="001A2CEF" w:rsidP="00245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2) В случае отрицательного результата инвестирования в 2019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- 2020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новом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у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страховщику в 202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будут переданы фактически сформированные СПН с учетом полученного в  2019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- 2020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убытка от инвестирования без гарантийного восполнения.</w:t>
            </w:r>
          </w:p>
        </w:tc>
      </w:tr>
      <w:tr w:rsidR="00245DA7" w:rsidRPr="001F14F3" w:rsidTr="00CC17F9">
        <w:tc>
          <w:tcPr>
            <w:tcW w:w="1844" w:type="dxa"/>
          </w:tcPr>
          <w:p w:rsidR="00245DA7" w:rsidRDefault="00245DA7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245DA7" w:rsidRDefault="00245DA7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245DA7" w:rsidRDefault="00245DA7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268" w:type="dxa"/>
          </w:tcPr>
          <w:p w:rsidR="0071152B" w:rsidRDefault="0071152B" w:rsidP="00245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245DA7" w:rsidRDefault="00245DA7" w:rsidP="00245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1A2CEF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202</w:t>
            </w: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048" w:type="dxa"/>
          </w:tcPr>
          <w:p w:rsidR="00245DA7" w:rsidRPr="001A2CEF" w:rsidRDefault="00245DA7" w:rsidP="00245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1) В случае положительного результата инвестирования в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2020 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у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новому страховщику в 202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будут переданы фактически сформированные СПН без инвестиционного дохода за   20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год.</w:t>
            </w:r>
          </w:p>
          <w:p w:rsidR="00245DA7" w:rsidRPr="001A2CEF" w:rsidRDefault="00245DA7" w:rsidP="00245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2) В случае отрицательного результата инвестирования в 20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у 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новом страховщику в 202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1 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году будут переданы фактически сформированные СПН с учетом полученного в  20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у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убытка от инвестирования без гарантийного восполнения.</w:t>
            </w:r>
          </w:p>
        </w:tc>
      </w:tr>
    </w:tbl>
    <w:p w:rsidR="00327AC2" w:rsidRDefault="00327AC2" w:rsidP="00860A8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002060"/>
          <w:sz w:val="20"/>
          <w:szCs w:val="20"/>
          <w:lang w:eastAsia="en-US"/>
        </w:rPr>
      </w:pPr>
    </w:p>
    <w:p w:rsidR="001F14F3" w:rsidRPr="00E205C4" w:rsidRDefault="001F14F3" w:rsidP="00E205C4">
      <w:pPr>
        <w:autoSpaceDE w:val="0"/>
        <w:autoSpaceDN w:val="0"/>
        <w:adjustRightInd w:val="0"/>
        <w:jc w:val="both"/>
        <w:rPr>
          <w:rFonts w:eastAsiaTheme="minorHAnsi"/>
          <w:b/>
          <w:color w:val="002060"/>
          <w:lang w:eastAsia="en-US"/>
        </w:rPr>
      </w:pPr>
      <w:r w:rsidRPr="00E205C4">
        <w:rPr>
          <w:rFonts w:eastAsiaTheme="minorHAnsi"/>
          <w:b/>
          <w:color w:val="002060"/>
          <w:lang w:eastAsia="en-US"/>
        </w:rPr>
        <w:t>*Отражение суммы СПН</w:t>
      </w:r>
      <w:r w:rsidR="00860A89" w:rsidRPr="00E205C4">
        <w:rPr>
          <w:rFonts w:eastAsiaTheme="minorHAnsi"/>
          <w:b/>
          <w:color w:val="002060"/>
          <w:lang w:eastAsia="en-US"/>
        </w:rPr>
        <w:t xml:space="preserve"> (фиксация)</w:t>
      </w:r>
      <w:r w:rsidRPr="00E205C4">
        <w:rPr>
          <w:rFonts w:eastAsiaTheme="minorHAnsi"/>
          <w:b/>
          <w:color w:val="002060"/>
          <w:lang w:eastAsia="en-US"/>
        </w:rPr>
        <w:t xml:space="preserve"> </w:t>
      </w:r>
      <w:r w:rsidR="00200859" w:rsidRPr="00E205C4">
        <w:rPr>
          <w:rFonts w:eastAsiaTheme="minorHAnsi"/>
          <w:b/>
          <w:color w:val="002060"/>
          <w:lang w:eastAsia="en-US"/>
        </w:rPr>
        <w:t>осуществляе</w:t>
      </w:r>
      <w:r w:rsidR="00E205C4" w:rsidRPr="00E205C4">
        <w:rPr>
          <w:rFonts w:eastAsiaTheme="minorHAnsi"/>
          <w:b/>
          <w:color w:val="002060"/>
          <w:lang w:eastAsia="en-US"/>
        </w:rPr>
        <w:t xml:space="preserve">тся текущим страховщиком каждые </w:t>
      </w:r>
      <w:r w:rsidR="00200859" w:rsidRPr="00E205C4">
        <w:rPr>
          <w:rFonts w:eastAsiaTheme="minorHAnsi"/>
          <w:b/>
          <w:color w:val="002060"/>
          <w:lang w:eastAsia="en-US"/>
        </w:rPr>
        <w:t>последующие пять лет.</w:t>
      </w:r>
      <w:r w:rsidR="00327AC2" w:rsidRPr="00E205C4">
        <w:rPr>
          <w:rFonts w:eastAsiaTheme="minorHAnsi"/>
          <w:b/>
          <w:color w:val="002060"/>
          <w:lang w:eastAsia="en-US"/>
        </w:rPr>
        <w:t xml:space="preserve"> </w:t>
      </w:r>
      <w:r w:rsidR="00E205C4" w:rsidRPr="00E205C4">
        <w:rPr>
          <w:rFonts w:eastAsiaTheme="minorHAnsi"/>
          <w:b/>
          <w:color w:val="002060"/>
          <w:lang w:eastAsia="en-US"/>
        </w:rPr>
        <w:t xml:space="preserve">Год фиксации </w:t>
      </w:r>
      <w:r w:rsidR="00327AC2" w:rsidRPr="00E205C4">
        <w:rPr>
          <w:rFonts w:eastAsiaTheme="minorHAnsi"/>
          <w:b/>
          <w:color w:val="002060"/>
          <w:lang w:eastAsia="en-US"/>
        </w:rPr>
        <w:t>соответствуют наиболее благоприятному году подачи заявления</w:t>
      </w:r>
      <w:r w:rsidR="00E205C4" w:rsidRPr="00E205C4">
        <w:rPr>
          <w:rFonts w:eastAsiaTheme="minorHAnsi"/>
          <w:b/>
          <w:color w:val="002060"/>
          <w:lang w:eastAsia="en-US"/>
        </w:rPr>
        <w:t xml:space="preserve"> </w:t>
      </w:r>
      <w:r w:rsidR="00327AC2" w:rsidRPr="00E205C4">
        <w:rPr>
          <w:rFonts w:eastAsiaTheme="minorHAnsi"/>
          <w:b/>
          <w:color w:val="002060"/>
          <w:lang w:eastAsia="en-US"/>
        </w:rPr>
        <w:t>о досрочном переходе</w:t>
      </w:r>
      <w:r w:rsidR="00E205C4" w:rsidRPr="00E205C4">
        <w:rPr>
          <w:rFonts w:eastAsiaTheme="minorHAnsi"/>
          <w:b/>
          <w:color w:val="002060"/>
          <w:lang w:eastAsia="en-US"/>
        </w:rPr>
        <w:t>.</w:t>
      </w:r>
    </w:p>
    <w:p w:rsidR="00E205C4" w:rsidRDefault="00E205C4" w:rsidP="002F025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200859" w:rsidRPr="00327AC2" w:rsidRDefault="002F0254" w:rsidP="002F025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002060"/>
          <w:sz w:val="28"/>
          <w:szCs w:val="28"/>
          <w:lang w:eastAsia="en-US"/>
        </w:rPr>
      </w:pPr>
      <w:r w:rsidRPr="00327AC2">
        <w:rPr>
          <w:rFonts w:eastAsiaTheme="minorHAnsi"/>
          <w:b/>
          <w:color w:val="FF0000"/>
          <w:sz w:val="28"/>
          <w:szCs w:val="28"/>
          <w:lang w:eastAsia="en-US"/>
        </w:rPr>
        <w:t xml:space="preserve">Внимание! </w:t>
      </w:r>
      <w:r w:rsidR="00200859"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Досрочный переход </w:t>
      </w:r>
      <w:r w:rsidR="00860A89" w:rsidRPr="00327AC2">
        <w:rPr>
          <w:rFonts w:eastAsiaTheme="minorHAnsi"/>
          <w:b/>
          <w:color w:val="002060"/>
          <w:sz w:val="28"/>
          <w:szCs w:val="28"/>
          <w:lang w:eastAsia="en-US"/>
        </w:rPr>
        <w:t>может повлечь</w:t>
      </w:r>
      <w:r w:rsidR="00200859"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 потерю инвестиционного дохода, а при отрицательном резул</w:t>
      </w:r>
      <w:r w:rsidR="00860A89"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ьтате инвестирования – </w:t>
      </w:r>
      <w:r w:rsidR="00200859" w:rsidRPr="00327AC2">
        <w:rPr>
          <w:rFonts w:eastAsiaTheme="minorHAnsi"/>
          <w:b/>
          <w:color w:val="002060"/>
          <w:sz w:val="28"/>
          <w:szCs w:val="28"/>
          <w:lang w:eastAsia="en-US"/>
        </w:rPr>
        <w:t>уменьшение средств пенсионных накоплений (исключение составляют застрахованные лица, подавшие заявление о досрочном переходе в год пятилетней фиксации средств пенсионных накоплений текущим страховщиком).</w:t>
      </w:r>
    </w:p>
    <w:p w:rsidR="00327AC2" w:rsidRPr="00327AC2" w:rsidRDefault="00327AC2" w:rsidP="00327AC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002060"/>
          <w:sz w:val="28"/>
          <w:szCs w:val="28"/>
          <w:lang w:eastAsia="en-US"/>
        </w:rPr>
      </w:pPr>
      <w:proofErr w:type="gramStart"/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В случае подачи в </w:t>
      </w:r>
      <w:r w:rsidRPr="00327AC2">
        <w:rPr>
          <w:rFonts w:eastAsiaTheme="minorHAnsi"/>
          <w:b/>
          <w:color w:val="FF0000"/>
          <w:sz w:val="28"/>
          <w:szCs w:val="28"/>
          <w:lang w:eastAsia="en-US"/>
        </w:rPr>
        <w:t>20</w:t>
      </w:r>
      <w:r w:rsidR="00245DA7">
        <w:rPr>
          <w:rFonts w:eastAsiaTheme="minorHAnsi"/>
          <w:b/>
          <w:color w:val="FF0000"/>
          <w:sz w:val="28"/>
          <w:szCs w:val="28"/>
          <w:lang w:eastAsia="en-US"/>
        </w:rPr>
        <w:t>20</w:t>
      </w: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 году застрахованными лицами заявлений </w:t>
      </w:r>
      <w:r w:rsidRPr="00327AC2">
        <w:rPr>
          <w:rFonts w:eastAsiaTheme="minorHAnsi"/>
          <w:b/>
          <w:color w:val="FF0000"/>
          <w:sz w:val="28"/>
          <w:szCs w:val="28"/>
          <w:lang w:eastAsia="en-US"/>
        </w:rPr>
        <w:t xml:space="preserve">о переходе </w:t>
      </w: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(пятилетние заявления), новому страховщику в </w:t>
      </w:r>
      <w:r w:rsidRPr="00327AC2">
        <w:rPr>
          <w:rFonts w:eastAsiaTheme="minorHAnsi"/>
          <w:b/>
          <w:color w:val="FF0000"/>
          <w:sz w:val="28"/>
          <w:szCs w:val="28"/>
          <w:lang w:eastAsia="en-US"/>
        </w:rPr>
        <w:t>202</w:t>
      </w:r>
      <w:r w:rsidR="00245DA7">
        <w:rPr>
          <w:rFonts w:eastAsiaTheme="minorHAnsi"/>
          <w:b/>
          <w:color w:val="FF0000"/>
          <w:sz w:val="28"/>
          <w:szCs w:val="28"/>
          <w:lang w:eastAsia="en-US"/>
        </w:rPr>
        <w:t>5</w:t>
      </w: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 году будут переданы средства пенсионных накоплений, отраженные в специальной части индивидуального лицевого счета застрахованного лица на дату перевода СПН, включая полученный инвестиционный доход в случае положительного результата инвестирования, или гарантийное восполнение инвестиционного убытка в случае отрицательного результата инвестирования. </w:t>
      </w:r>
      <w:proofErr w:type="gramEnd"/>
    </w:p>
    <w:sectPr w:rsidR="00327AC2" w:rsidRPr="00327AC2" w:rsidSect="00CC17F9">
      <w:pgSz w:w="16838" w:h="11906" w:orient="landscape" w:code="9"/>
      <w:pgMar w:top="567" w:right="567" w:bottom="284" w:left="567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05F"/>
    <w:multiLevelType w:val="hybridMultilevel"/>
    <w:tmpl w:val="184A541A"/>
    <w:lvl w:ilvl="0" w:tplc="55DE812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DC7395A"/>
    <w:multiLevelType w:val="hybridMultilevel"/>
    <w:tmpl w:val="95F090D8"/>
    <w:lvl w:ilvl="0" w:tplc="BF6C127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1353B60"/>
    <w:multiLevelType w:val="hybridMultilevel"/>
    <w:tmpl w:val="30047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A6"/>
    <w:rsid w:val="000D32A6"/>
    <w:rsid w:val="000E397C"/>
    <w:rsid w:val="000F091E"/>
    <w:rsid w:val="00125E5C"/>
    <w:rsid w:val="00152904"/>
    <w:rsid w:val="00172342"/>
    <w:rsid w:val="001A2CEF"/>
    <w:rsid w:val="001A322E"/>
    <w:rsid w:val="001B0EE8"/>
    <w:rsid w:val="001D3615"/>
    <w:rsid w:val="001F14F3"/>
    <w:rsid w:val="001F5F54"/>
    <w:rsid w:val="00200859"/>
    <w:rsid w:val="00222591"/>
    <w:rsid w:val="0023060F"/>
    <w:rsid w:val="00245DA7"/>
    <w:rsid w:val="0027246B"/>
    <w:rsid w:val="002B30A7"/>
    <w:rsid w:val="002B37FC"/>
    <w:rsid w:val="002C09DF"/>
    <w:rsid w:val="002F0254"/>
    <w:rsid w:val="00317336"/>
    <w:rsid w:val="003279EE"/>
    <w:rsid w:val="00327AC2"/>
    <w:rsid w:val="00394C74"/>
    <w:rsid w:val="003D5740"/>
    <w:rsid w:val="0045217C"/>
    <w:rsid w:val="0048142D"/>
    <w:rsid w:val="004A417B"/>
    <w:rsid w:val="004C3AFF"/>
    <w:rsid w:val="00520240"/>
    <w:rsid w:val="005963FB"/>
    <w:rsid w:val="00632D87"/>
    <w:rsid w:val="00653F72"/>
    <w:rsid w:val="006876A6"/>
    <w:rsid w:val="0071152B"/>
    <w:rsid w:val="007457C7"/>
    <w:rsid w:val="0076342B"/>
    <w:rsid w:val="00777C18"/>
    <w:rsid w:val="007B6ABA"/>
    <w:rsid w:val="00801192"/>
    <w:rsid w:val="00801D50"/>
    <w:rsid w:val="00830C36"/>
    <w:rsid w:val="00860A89"/>
    <w:rsid w:val="00867CFF"/>
    <w:rsid w:val="008746F5"/>
    <w:rsid w:val="0088214B"/>
    <w:rsid w:val="00976B9E"/>
    <w:rsid w:val="009968B9"/>
    <w:rsid w:val="009A4DAE"/>
    <w:rsid w:val="009B3483"/>
    <w:rsid w:val="009E7EDA"/>
    <w:rsid w:val="00A10908"/>
    <w:rsid w:val="00A14752"/>
    <w:rsid w:val="00A25F47"/>
    <w:rsid w:val="00A441B2"/>
    <w:rsid w:val="00A91998"/>
    <w:rsid w:val="00A95FDF"/>
    <w:rsid w:val="00AB53EC"/>
    <w:rsid w:val="00AD0AC3"/>
    <w:rsid w:val="00AD16F0"/>
    <w:rsid w:val="00B41995"/>
    <w:rsid w:val="00B4565A"/>
    <w:rsid w:val="00B509FD"/>
    <w:rsid w:val="00B50ED1"/>
    <w:rsid w:val="00BD2654"/>
    <w:rsid w:val="00BE24F7"/>
    <w:rsid w:val="00C56294"/>
    <w:rsid w:val="00C67189"/>
    <w:rsid w:val="00C87601"/>
    <w:rsid w:val="00CC17F9"/>
    <w:rsid w:val="00CE4B88"/>
    <w:rsid w:val="00D02099"/>
    <w:rsid w:val="00D262CF"/>
    <w:rsid w:val="00D3524E"/>
    <w:rsid w:val="00D61A75"/>
    <w:rsid w:val="00D81DE0"/>
    <w:rsid w:val="00DF01AE"/>
    <w:rsid w:val="00DF1B33"/>
    <w:rsid w:val="00E03381"/>
    <w:rsid w:val="00E205C4"/>
    <w:rsid w:val="00E22878"/>
    <w:rsid w:val="00E74115"/>
    <w:rsid w:val="00E971C0"/>
    <w:rsid w:val="00EA7005"/>
    <w:rsid w:val="00EB100C"/>
    <w:rsid w:val="00F11DAD"/>
    <w:rsid w:val="00F2531F"/>
    <w:rsid w:val="00F63B01"/>
    <w:rsid w:val="00F772A8"/>
    <w:rsid w:val="00F9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76A6"/>
    <w:pPr>
      <w:jc w:val="center"/>
    </w:pPr>
    <w:rPr>
      <w:b/>
      <w:color w:val="333399"/>
      <w:sz w:val="48"/>
    </w:rPr>
  </w:style>
  <w:style w:type="character" w:customStyle="1" w:styleId="a4">
    <w:name w:val="Название Знак"/>
    <w:basedOn w:val="a0"/>
    <w:link w:val="a3"/>
    <w:rsid w:val="006876A6"/>
    <w:rPr>
      <w:rFonts w:ascii="Times New Roman" w:eastAsia="Times New Roman" w:hAnsi="Times New Roman" w:cs="Times New Roman"/>
      <w:b/>
      <w:color w:val="333399"/>
      <w:sz w:val="48"/>
      <w:szCs w:val="24"/>
      <w:lang w:eastAsia="ru-RU"/>
    </w:rPr>
  </w:style>
  <w:style w:type="table" w:styleId="a5">
    <w:name w:val="Table Grid"/>
    <w:basedOn w:val="a1"/>
    <w:uiPriority w:val="59"/>
    <w:rsid w:val="00687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7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777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76A6"/>
    <w:pPr>
      <w:jc w:val="center"/>
    </w:pPr>
    <w:rPr>
      <w:b/>
      <w:color w:val="333399"/>
      <w:sz w:val="48"/>
    </w:rPr>
  </w:style>
  <w:style w:type="character" w:customStyle="1" w:styleId="a4">
    <w:name w:val="Название Знак"/>
    <w:basedOn w:val="a0"/>
    <w:link w:val="a3"/>
    <w:rsid w:val="006876A6"/>
    <w:rPr>
      <w:rFonts w:ascii="Times New Roman" w:eastAsia="Times New Roman" w:hAnsi="Times New Roman" w:cs="Times New Roman"/>
      <w:b/>
      <w:color w:val="333399"/>
      <w:sz w:val="48"/>
      <w:szCs w:val="24"/>
      <w:lang w:eastAsia="ru-RU"/>
    </w:rPr>
  </w:style>
  <w:style w:type="table" w:styleId="a5">
    <w:name w:val="Table Grid"/>
    <w:basedOn w:val="a1"/>
    <w:uiPriority w:val="59"/>
    <w:rsid w:val="00687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7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777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2812-C134-4F7B-89A4-DC2B32B0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076-1201 Малашенкова</dc:creator>
  <cp:lastModifiedBy>Мерецкая Елена Вячеславовна</cp:lastModifiedBy>
  <cp:revision>2</cp:revision>
  <cp:lastPrinted>2017-06-02T07:18:00Z</cp:lastPrinted>
  <dcterms:created xsi:type="dcterms:W3CDTF">2020-03-17T09:04:00Z</dcterms:created>
  <dcterms:modified xsi:type="dcterms:W3CDTF">2020-03-17T09:04:00Z</dcterms:modified>
</cp:coreProperties>
</file>